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CC" w:rsidRPr="00B313A2" w:rsidRDefault="00D105CC" w:rsidP="00D105CC">
      <w:pPr>
        <w:spacing w:after="195" w:line="450" w:lineRule="atLeast"/>
        <w:outlineLvl w:val="1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bookmarkStart w:id="0" w:name="_GoBack"/>
      <w:r w:rsidRPr="00B313A2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Circular 1/2015 Análisis Financiero y Presupuestal. Orden de Pago.‏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CON ATENCIÓN A: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PRESIDENTES (AS) MUNICIPALES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SINDICO MUNICIPAL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CONTRALORES (AS) MUNICIPALES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TESOREROS (AS) MUNICIPALES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DIRECTORES (AS) DE OBRAS Y SERVICIOS PÚBLICOS.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DIRECTORES (AS) DE DESARROLLO ECONÓMICO Y SOCIAL.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DIRECTORES (AS) DE SISTEMAS MUNICIPALES DE AGUA POTABLE.</w:t>
      </w:r>
    </w:p>
    <w:bookmarkEnd w:id="0"/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 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Por medio de la presente se envía el formato de </w:t>
      </w:r>
      <w:r w:rsidRPr="001F0ABB">
        <w:rPr>
          <w:rFonts w:ascii="Calibri" w:hAnsi="Calibri" w:cs="Calibri"/>
          <w:b/>
          <w:color w:val="444444"/>
          <w:sz w:val="23"/>
          <w:szCs w:val="23"/>
        </w:rPr>
        <w:t>ORDEN DE PAGO</w:t>
      </w:r>
      <w:r>
        <w:rPr>
          <w:rFonts w:ascii="Calibri" w:hAnsi="Calibri" w:cs="Calibri"/>
          <w:color w:val="444444"/>
          <w:sz w:val="23"/>
          <w:szCs w:val="23"/>
        </w:rPr>
        <w:t xml:space="preserve"> para su implementación en el ejercicio 2015, mismo que deberá ser </w:t>
      </w:r>
      <w:proofErr w:type="spellStart"/>
      <w:r>
        <w:rPr>
          <w:rFonts w:ascii="Calibri" w:hAnsi="Calibri" w:cs="Calibri"/>
          <w:color w:val="444444"/>
          <w:sz w:val="23"/>
          <w:szCs w:val="23"/>
        </w:rPr>
        <w:t>requisitado</w:t>
      </w:r>
      <w:proofErr w:type="spellEnd"/>
      <w:r>
        <w:rPr>
          <w:rFonts w:ascii="Calibri" w:hAnsi="Calibri" w:cs="Calibri"/>
          <w:color w:val="444444"/>
          <w:sz w:val="23"/>
          <w:szCs w:val="23"/>
        </w:rPr>
        <w:t xml:space="preserve"> y anexado a todas  las erogaciones que realicen los Municipios (incluye al DIF y Patronatos de Ferias) y Organismos Operadores de Agua Potable, ya sea mediante cheque, transferencia electrónica, efectivo o pago electrónico.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 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Archivos Anexos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 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 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 </w:t>
      </w:r>
    </w:p>
    <w:p w:rsid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 </w:t>
      </w:r>
    </w:p>
    <w:p w:rsidR="00373646" w:rsidRPr="00D105CC" w:rsidRDefault="00D105CC" w:rsidP="00D105CC">
      <w:pPr>
        <w:pStyle w:val="ecxmsonormal"/>
        <w:shd w:val="clear" w:color="auto" w:fill="FFFFFF"/>
        <w:spacing w:before="0" w:beforeAutospacing="0" w:after="324" w:afterAutospacing="0" w:line="319" w:lineRule="atLeast"/>
        <w:jc w:val="righ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Guadalupe, Zacatecas., a 21 de enero de 2015.</w:t>
      </w:r>
    </w:p>
    <w:sectPr w:rsidR="00373646" w:rsidRPr="00D105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CC"/>
    <w:rsid w:val="001F0ABB"/>
    <w:rsid w:val="00373646"/>
    <w:rsid w:val="00B313A2"/>
    <w:rsid w:val="00D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0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05C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ecxmsonormal">
    <w:name w:val="ecxmsonormal"/>
    <w:basedOn w:val="Normal"/>
    <w:rsid w:val="00D1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0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05C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ecxmsonormal">
    <w:name w:val="ecxmsonormal"/>
    <w:basedOn w:val="Normal"/>
    <w:rsid w:val="00D1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2015-01-22T19:02:00Z</dcterms:created>
  <dcterms:modified xsi:type="dcterms:W3CDTF">2015-05-28T21:15:00Z</dcterms:modified>
</cp:coreProperties>
</file>